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Cette brique de parement innovative est un modèle de l'économie circulaire et l'usage des matériaux responsable. Entièrement fabriquée de 100% de matières premières secondaires et circulaires, ce produit est fabriqué des matières naturelles et des flux résiduels de leurs propres processus de production et ceux des autres entreprises.</w:t>
        <w:br/>
        <w:t>La brique est formée dans un moule non-sablé par l'insertion d'un morceau de matière première recyclée et est cuite à une température d'au moins 1150°C .</w:t>
        <w:br/>
        <w:t>Elle est exempte de chaux et d'autres inclusions et présente au moins une boutisse et une panneresse exempts de fissures ou défaut qui serait nuisible  à l’aspect global de la maçonnerie.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*0x0x0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op aanvraag per productiebatch / on request per production batch</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sur demande par lot de production</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sur demande par lot de production</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sur demande par lot de production</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sur demande par lot de production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Pour souligner son caractère 100% écologique, la pierre peut idéalement être travaillée avec un mortier bâtard.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Circular Brick Red</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