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sablées avec frog et une structure lisse sans nervure.La teinte est jaune dans la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La brique est une brique moulée à la presse avec frog et avec une structure légère. Elle est libre de nodules de chaux ou autres. Elle présente au moins une boutisse et une panneresse sans fissure ou défaut qui serait nuisible à l’aspect global de la maçonnerie. Ce produit entièrement naturel est fabriqué avec de l’argile alluviale du quaternaire provenant de la vallée de l’Escaut. La brique est formée dans un moule sablé en insérant un bloc d’argile qui est cuit à une température de 1150°</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*215x101x64 mm</w:t>
            </w:r>
          </w:p>
        </w:tc>
        <w:tc>
          <w:p>
            <w:r>
              <w:rPr>
                <w:sz w:val="14"/>
                <w:rFonts w:ascii="Myriad Pro Light"/>
                <w:tcPr>
                  <w:vAlign w:val="center"/>
                </w:tcPr>
              </w:rPr>
              <w:t>sur demande pour projets &gt; 2500 m²</w:t>
            </w:r>
          </w:p>
        </w:tc>
      </w:tr>
      <w:tr>
        <w:tc>
          <w:p>
            <w:r>
              <w:rPr>
                <w:sz w:val="14"/>
                <w:rFonts w:ascii="Myriad Pro Light"/>
                <w:tcPr>
                  <w:vAlign w:val="center"/>
                </w:tcPr>
              </w:rPr>
              <w:t>Quantité / m² avec un joint traditionnel</w:t>
            </w:r>
          </w:p>
        </w:tc>
        <w:tc>
          <w:p>
            <w:r>
              <w:rPr>
                <w:sz w:val="14"/>
                <w:rFonts w:ascii="Myriad Pro Light"/>
                <w:tcPr>
                  <w:vAlign w:val="center"/>
                </w:tcPr>
              </w:rPr>
              <w:t>ca. 57 (12 mm) </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 0,54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r>
        <w:tc>
          <w:p>
            <w:r>
              <w:rPr>
                <w:sz w:val="14"/>
                <w:rFonts w:ascii="Myriad Pro Light"/>
                <w:tcPr>
                  <w:vAlign w:val="center"/>
                  <w:tcW w:w="1700" w:type="dxa"/>
                </w:tcPr>
              </w:rPr>
              <w:t>Caractéristiques</w:t>
            </w:r>
          </w:p>
        </w:tc>
        <w:tc>
          <w:p>
            <w:r>
              <w:rPr>
                <w:sz w:val="14"/>
                <w:rFonts w:ascii="Myriad Pro Light"/>
                <w:tcPr>
                  <w:vAlign w:val="center"/>
                  <w:tcW w:w="9060" w:type="dxa"/>
                </w:tcPr>
              </w:rP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r>
          </w:p>
        </w:tc>
      </w:tr>
    </w:tbl>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CREA 1018</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