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entière non-sablée moulée à la presse sans nervures avec une structure très inégale et brute. Quelques briques ont un aspect veldbrand très brut et surcuit à cause de la réduction naturelle au charbon. Quelques côtés visibles de la brique contiennent aussi des restants de charbon et des traces de la pose manuelle.La couleur est rouge dans la masse avec de fortes nuances de rouge, brun rouge et bleu violet.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*500x100x38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40</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45</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4kg/(m².min) Classe IW3 (absorption normale)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Infinitum 3003</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