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violet-gris-brune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sur demande pour projets &gt; 2000m²</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