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massives pas sablées avec une structure lisse et sans nervure. La teinte est gris clair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 La brique est cuite pour une deuxième fois sous une atmosphère réduite.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&lt; 1,5 kg/(m² . min) IW2</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7045</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