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rouge-violet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sur demande pour projets &gt; 2000m²</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