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(parement intérieur et/ou extérieur) est érigée en brique non-sablée moulée à la presse sans nervures avec frog et une structure très inégale et brute. Quelques briques ont un aspect veldbrand très brut et surcuit à cause de la réduction naturelle au charbon. Quelques côtés visibles de la brique contiennent aussi des restants de charbon et des traces de la pose manuelle. La couleur en masse est rouge et allant de rouge, rouge-brun jusqu’au rouge-bleu.</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La brique est une brique moulée à la presse avec frog et avec une structure légère. Elle est libre de nodules de chaux ou autres. Elle présente au moins une boutisse et une panneresse sans fissure ou défaut qui serait nuisible à l’aspect global de la maçonnerie. Ce produit entièrement naturel est fabriqué avec de l’argile alluviale du quaternaire provenant de la vallée de l’Escaut. La brique est formée dans un moule non-sablé en insérant un bloc d’argile qui est cuit à une température de 1150°.</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bénéficient le label « CE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*216x102x64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58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65 (6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0,65 W/mK (tableau 1 EN1745) </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 </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Brick O</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