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non-sablée moulée à la presse sans nervures avec frog et une structure très inégale et brute. Quelques briques ont un aspect veldbrand très brut et surcuit à cause de la réduction naturelle au charbon. Quelques côtés visibles de la brique contiennent aussi des restants de charbon et des traces de la pose manuelle.La couleur en masse est rouge et fort nuancée allant de rouge, rouge-brun jusqu’au bleu-violet.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La brique est une brique moulée à la presse avec frog et avec une structure légère. Elle est libre de nodules de chaux ou autres. Elle présente au moins une boutisse et une panneresse sans fissure ou défaut qui serait nuisible à l’aspect global de la maçonnerie. Ce produit entièrement naturel est fabriqué avec de l’argile alluviale du quaternaire provenant de la vallée de l’Escaut. La brique est formée dans un moule non-sablé en insérant un bloc d’argile qui est cuit à une température de 1150°.</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*210x100x62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61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69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F2 - très résistant au gel </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 &lt; 4 kg/(m².min) Classe IW3 (absorption normal)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