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rouge et fort nuancée allant de rouge, rouge-brun jusqu’au bleu-violet.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*210x100x62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61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69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 très résistant au gel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 &lt; 4 kg/(m².min) Classe IW3 (absorption normal)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