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non-sablée moulée à la presse sans nervures avec frog et une structure très inégale et brute. Quelques briques ont un aspect veldbrand très brut et surcuit à cause de la réduction naturelle au charbon. Quelques côtés visibles de la brique contiennent aussi des restants de charbon et des traces de la pose manuelle.La couleur en masse est rouge et fort nuancée allant de rouge, rouge-brun jusqu’au bleu-violet.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non-sablé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*210x100x62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61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69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F2 - très résistant au gel </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 &lt; 4 kg/(m².min) Classe IW3 (absorption normal)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