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non-sablée moulée à la presse sans nervures avec frog et une structure très inégale et brute. Quelques briques ont un aspect veldbrand très brut et surcuit à cause de la réduction naturelle au charbon. Quelques côtés visibles de la brique contiennent aussi des restants de charbon et des traces de la pose manuelle. La couleur en masse est crème à écru. Les briques ont un aspect veldbrand irrégulier à cause de la réduction naturelle au charbon avec des nuances en couleur allant de brun clair à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La brique est une brique moulée à la presse avec frog et avec une structure légère. Elle est libre de nodules de chaux ou autres. Elle présente au moins une boutisse et une panneresse sans fissure ou défaut qui serait nuisible à l’aspect global de la maçonnerie. Ce produit entièrement naturel est fabriqué avec de l’argile alluviale du quaternaire provenant de la vallée de l’Escaut. La brique est formée dans un moule non-sablé en insérant un bloc d’argile qui est cuit à une température de 1150°.</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66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1,5  kg/(m² . min) Classe IW3 (absorption modérée)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J</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