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rouge et fort nuancée allant de rouge, rouge-brun jusqu’au bleu-viol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 &lt; 4 kg/(m².min) Classe IW3 (absorption normal)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