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est rouge-brun en masse et rouge-brun jusqu’à rouge-bordeaux avec des nuances noir-bleu brillant sur les côtés visibles.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*224x73x54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65</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0,5 kg/(m² . min ) klasse  IW1</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0,85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0,5 kg/(m².min) Classe IW1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F</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