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rouge-brun en masse et rouge-brun jusqu’à rouge-bordeaux avec des nuances noir-bleu brillant sur les côtés visibles.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*224x73x54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0,5 kg/(m² . min ) klasse  IW1</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0,5 kg/(m².min) Classe IW1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