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est rouge-brun en masse et rouge-brun jusqu’à rouge-bordeaux avec des nuances noir-bleu brillant sur les côtés visibles.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0,5 kg/(m².min) Classe IW1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