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rouge-brun en masse et rouge-brun jusqu’à rouge-bordeaux avec des nuances noir-bleu brillant sur les côtés visibles.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*224x73x54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65</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0,5 kg/(m² . min ) klasse  IW1</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0,85 W/mK (tableau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0,5 kg/(m².min) Classe IW1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F</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