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 La couleur en masse est crème à écru. Les briques ont un aspect veldbrand irrégulier à cause de la réduction naturelle au charbon avec des nuances en couleur allant de brun clair à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1,5  kg/(m² . min) Classe IW3 (absorption modérée)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