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rouge-orange à brun foncé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*224x74x54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65 (12 mm) </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*192x92x52 mm</w:t>
            </w:r>
          </w:p>
        </w:tc>
        <w:tc>
          <w:p>
            <w:r>
              <w:rPr>
                <w:sz w:val="14"/>
                <w:rFonts w:ascii="Myriad Pro Light"/>
                <w:tcPr>
                  <w:vAlign w:val="center"/>
                </w:tcPr>
              </w:rPr>
              <w:t>M50</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*217x102x65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57</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Kwaeremont</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