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(intérieure et/ou extérieure) est effectuée avec des briques de parement massives pas sablées avec une structure lisse et sans nervure. La teinte est lie de vin pas sablée dans la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non-sablé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&lt; 8%</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&lt; 1,5 kg/(m² . min ) IW2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0,85 W/mK  (tableau 1 EN1745)</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&lt; 1,5 kg/(m².min) Classe IW2 (absorption modérée)</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3005</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