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(intérieure et/ou extérieure) est effectuée avec des briques de parement massives pas sablées avec une structure lisse et sans nervure. La teinte est gris foncée pas sablée dans la masse.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*220x72x52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68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77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(12/6/4)  / sEptEm + Rm (8/4/4)</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&lt; 8%</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1,5 kg/(m² . min ) IW2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1,5 kg/(m².min) Classe IW2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7039</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22-04-2026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