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Grisage de Vande Moortel,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Nuancée gris clair et gris foncé.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La brique est cuite pour une deuxième fois sous une atmosphère réduite.</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*212x51x104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*212x69x104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un matériau perméable adapté ayant une perméabilité &gt; 5,4*10-5 m/s.</w:t>
        <w:br/>
        <w:t>Contrôlez au préalable la stabilité du filtre de ce sable par rappport au lit de pose. 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sable de jointoiement sur toute la surface et de brosser. Ce processus doit être répété jusqu'à ce que les joints soient complètement remplis pour que plus aucun pavé ne puisse bouger. Ce n’est qu’alors que le pavage est prêt pour la mise en service.</w:t>
      </w:r>
      <w:r w:rsidR="00461C91">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670B082E">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MATÉRIAUX</w:t>
      </w:r>
      <w:r w:rsidR="002F4419">
        <w:rPr>
          <w:color w:val="111111"/>
        </w:rPr>
        <w:br/>
      </w:r>
    </w:p>
    <w:p w:rsidR="00420024" w:rsidP="008742C3" w:rsidRDefault="00420024" w14:paraId="39DB7440" w14:textId="5F7FF1FA">
      <w:pPr>
        <w:pStyle w:val="Kop1"/>
        <w:keepLines/>
        <w:widowControl/>
      </w:pPr>
      <w:r>
        <w:rPr>
          <w:noProof/>
          <w:color w:val="111111"/>
        </w:rPr>
        <w:t>Remplissage des joints</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est un sable concassé naturellement pur, issu du processus de concassage de la roche naturelle. Sa forme naturelle est anguleuse et pointue, avec une quasi-absence de fines inférieures à 0,063 mm (NBN EN 933-1) et une granulométrie jusqu’à 2 mm. La couleur est gris foncé à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Conditionnement et consommation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25 kg</w:t>
            </w:r>
          </w:p>
        </w:tc>
      </w:tr>
      <w:tr>
        <w:tc>
          <w:p>
            <w:r>
              <w:rPr>
                <w:sz w:val="14"/>
                <w:rFonts w:ascii="Myriad Pro Light"/>
                <w:tcPr>
                  <w:vAlign w:val="center"/>
                </w:tcPr>
              </w:rPr>
              <w:t>Consommation</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par 25 kg</w:t>
            </w:r>
          </w:p>
        </w:tc>
      </w:tr>
      <w:tr>
        <w:tc>
          <w:p>
            <w:r>
              <w:rPr>
                <w:sz w:val="14"/>
                <w:rFonts w:ascii="Myriad Pro Light"/>
                <w:tcPr>
                  <w:vAlign w:val="center"/>
                </w:tcPr>
              </w:rPr>
              <w:t>Ancienne Belgique</w:t>
            </w:r>
          </w:p>
        </w:tc>
        <w:tc>
          <w:p>
            <w:r>
              <w:rPr>
                <w:sz w:val="14"/>
                <w:rFonts w:ascii="Myriad Pro Light"/>
                <w:tcPr>
                  <w:vAlign w:val="center"/>
                </w:tcPr>
              </w:rPr>
              <w:t>3,0 m² par 25 kg</w:t>
            </w:r>
          </w:p>
        </w:tc>
      </w:tr>
      <w:tr>
        <w:tc>
          <w:p>
            <w:r>
              <w:rPr>
                <w:sz w:val="14"/>
                <w:rFonts w:ascii="Myriad Pro Light"/>
                <w:tcPr>
                  <w:vAlign w:val="center"/>
                </w:tcPr>
              </w:rPr>
              <w:t>DecimA WF / DF            </w:t>
            </w:r>
          </w:p>
        </w:tc>
        <w:tc>
          <w:p>
            <w:r>
              <w:rPr>
                <w:sz w:val="14"/>
                <w:rFonts w:ascii="Myriad Pro Light"/>
                <w:tcPr>
                  <w:vAlign w:val="center"/>
                </w:tcPr>
              </w:rPr>
              <w:t>2,5 m² par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Lit de pose</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Pour le lit de pose, il est recommandé d'utiliser le H2O Bedding Course de Vande Moortel. Ce sable concassé a une fraction 2/4 et la qualité nécessaire pour conserver un bonne perméabilité à l'eau dans le temps. Cela signifie que le coefficient de Los Angeles (LA - résistance à la fragmentation) ne doit pas dépasser 20, et que le coefficient Micro-Deval (MDE - résistance à l'usure) ne doit pas dépasser 15. </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Conditionnement et consommation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40 kg</w:t>
            </w:r>
          </w:p>
        </w:tc>
      </w:tr>
      <w:tr>
        <w:tc>
          <w:p>
            <w:r>
              <w:rPr>
                <w:sz w:val="14"/>
                <w:rFonts w:ascii="Myriad Pro Light"/>
                <w:tcPr>
                  <w:vAlign w:val="center"/>
                </w:tcPr>
              </w:rPr>
              <w:t>Consommation (épaisseur 3 cm après compactage)</w:t>
            </w:r>
          </w:p>
        </w:tc>
        <w:tc>
          <w:p>
            <w:r>
              <w:rPr>
                <w:sz w:val="14"/>
                <w:rFonts w:ascii="Myriad Pro Light"/>
                <w:tcPr>
                  <w:vAlign w:val="center"/>
                </w:tcPr>
              </w:rPr>
              <w:t>Env. 0,85 m² par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Fondation drainante en empierrements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Complément pour usage de béton maigre drainant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Sous-fondation drainante en empierrements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Géotetextile - Géogrille</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En outre, un géotextile et une géogrille peuvent être posés sous la sous-fondation pour améliorer la capacité portante en cas de sous-sol saturé. </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ENTRETIEN</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Le remplissage des joints doit être vérifié après le nettoyage et réparé si nécessaire.</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Grisage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