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Jaune.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*212x51x104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89</w:t>
            </w:r>
          </w:p>
        </w:tc>
        <w:tc>
          <w:p>
            <w:r>
              <w:rPr>
                <w:sz w:val="14"/>
                <w:rFonts w:ascii="Myriad Pro Light"/>
                <w:tcPr>
                  <w:vAlign w:val="center"/>
                </w:tcPr>
              </w:rPr>
              <w:t/>
            </w:r>
          </w:p>
        </w:tc>
      </w:tr>
      <w:tr>
        <w:tc>
          <w:p>
            <w:r>
              <w:rPr>
                <w:sz w:val="14"/>
                <w:rFonts w:ascii="Myriad Pro Light"/>
                <w:tcPr>
                  <w:vAlign w:val="center"/>
                </w:tcPr>
              </w:rPr>
              <w:t>Dimensions de fabrication (L xlxh)</w:t>
            </w:r>
          </w:p>
        </w:tc>
        <w:tc>
          <w:p>
            <w:r>
              <w:rPr>
                <w:sz w:val="14"/>
                <w:rFonts w:ascii="Myriad Pro Light"/>
                <w:tcPr>
                  <w:vAlign w:val="center"/>
                </w:tcPr>
              </w:rPr>
              <w:t>*212x69x104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66</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Carctéristiques</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d’eauNBN EN 771</w:t>
            </w:r>
          </w:p>
        </w:tc>
        <w:tc>
          <w:p>
            <w:r>
              <w:rPr>
                <w:sz w:val="14"/>
                <w:rFonts w:ascii="Myriad Pro Light"/>
                <w:tcPr>
                  <w:vAlign w:val="center"/>
                </w:tcPr>
              </w:rPr>
              <w:t>Classe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Tolérances dimensionnelles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un matériau perméable adapté ayant une perméabilité &gt; 5,4*10-5 m/s.</w:t>
        <w:br/>
        <w:t>Contrôlez au préalable la stabilité du filtre de ce sable par rappport au lit de pose. 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sable de jointoiement sur toute la surface et de brosser. Ce processus doit être répété jusqu'à ce que les joints soient complètement remplis pour que plus aucun pavé ne puisse bouger. Ce n’est qu’alors que le pavage est prêt pour la mise en service.</w:t>
      </w:r>
      <w:r w:rsidR="004C1616">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739B4C5C">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MATÉRIAUX</w:t>
      </w:r>
      <w:r w:rsidR="004C1616">
        <w:rPr>
          <w:color w:val="111111"/>
        </w:rPr>
        <w:br/>
      </w:r>
    </w:p>
    <w:p w:rsidR="00420024" w:rsidP="00420024" w:rsidRDefault="00420024" w14:paraId="39DB7440" w14:textId="5F7FF1FA">
      <w:pPr>
        <w:pStyle w:val="Kop1"/>
      </w:pPr>
      <w:r>
        <w:rPr>
          <w:noProof/>
          <w:color w:val="111111"/>
        </w:rPr>
        <w:t>Remplissage des joints</w:t>
      </w:r>
    </w:p>
    <w:p w:rsidR="00420024" w:rsidP="00420024" w:rsidRDefault="00420024" w14:paraId="33079158" w14:textId="27CD6B19">
      <w:pPr>
        <w:spacing w:before="5" w:line="264" w:lineRule="auto"/>
        <w:ind w:left="464" w:right="463"/>
        <w:rPr>
          <w:color w:val="111111"/>
          <w:sz w:val="16"/>
        </w:rPr>
      </w:pPr>
      <w:r>
        <w:rPr>
          <w:noProof/>
          <w:color w:val="111111"/>
          <w:sz w:val="16"/>
        </w:rPr>
        <w:t>Le sable de jointoiement est un sable concassé naturellement pur, issu du processus de concassage de la roche naturelle. Sa forme naturelle est anguleuse et pointue, avec une teneur idéalement nulle ou au maximum &lt; 3% en fines inférieures à 0,063 mm (NBN EN 933-1) avec Dmax ≤ 2 mm. </w:t>
        <w:br/>
        <w:t>La qualité des granulats est importante pour maintenir la capacité de perméabilité. Cela signifie que le coefficient de Los Angeles (LA - résistance à la fragmentation) ne doit pas dépasser 20, et le coefficient Micro-Deval (MDE - résistance à l’usure) ne doit pas dépasser 15 selon les PTV 411. La couleur va du gris foncé à l'anthracite.</w:t>
      </w:r>
      <w:r w:rsidR="004C1616">
        <w:rPr>
          <w:color w:val="111111"/>
          <w:sz w:val="16"/>
        </w:rPr>
        <w:br/>
      </w:r>
    </w:p>
    <w:p w:rsidR="00420024" w:rsidP="00420024" w:rsidRDefault="00420024" w14:paraId="1D7F5DC9" w14:textId="183C105C">
      <w:pPr>
        <w:pStyle w:val="Kop1"/>
      </w:pPr>
      <w:r>
        <w:rPr>
          <w:noProof/>
          <w:color w:val="111111"/>
        </w:rPr>
        <w:t>Lit de pose</w:t>
      </w:r>
    </w:p>
    <w:p w:rsidR="00420024" w:rsidP="00420024" w:rsidRDefault="00420024" w14:paraId="3A3DAA68" w14:textId="0E92535C">
      <w:pPr>
        <w:spacing w:before="5" w:line="264" w:lineRule="auto"/>
        <w:ind w:left="464" w:right="463"/>
        <w:rPr>
          <w:color w:val="111111"/>
          <w:sz w:val="16"/>
        </w:rPr>
      </w:pPr>
      <w:r>
        <w:rPr>
          <w:noProof/>
          <w:color w:val="111111"/>
          <w:sz w:val="16"/>
        </w:rPr>
        <w:t>Pour le lit de pose, il est recommandé d'utiliser du sable concassé avec une fraction 2/4 ou du gravier split de fraction 2/6.2.  La qualité des granulats est requise pour conserver un bonne perméabilité à l'eau dans le temps. Cela signifie que le coefficient de Los Angeles (LA - résistance à la fragmentation) ne doit pas dépasser 20, et que le coefficient Micro-Deval (MDE - résistance à l'usure) ne doit pas dépasser 15. </w:t>
      </w:r>
      <w:r w:rsidR="004C1616">
        <w:rPr>
          <w:color w:val="111111"/>
          <w:sz w:val="16"/>
        </w:rPr>
        <w:br/>
      </w:r>
    </w:p>
    <w:p w:rsidR="00420024" w:rsidP="00420024" w:rsidRDefault="00420024" w14:paraId="01E44E98" w14:textId="13A1EE1A">
      <w:pPr>
        <w:pStyle w:val="Kop1"/>
      </w:pPr>
      <w:r>
        <w:rPr>
          <w:noProof/>
          <w:color w:val="111111"/>
        </w:rPr>
        <w:t>Fondation drainante en empierrements</w:t>
      </w:r>
    </w:p>
    <w:p w:rsidR="00420024" w:rsidP="00420024" w:rsidRDefault="00486244" w14:paraId="2EA7C588" w14:textId="1E94A985">
      <w:pPr>
        <w:spacing w:before="5" w:line="264" w:lineRule="auto"/>
        <w:ind w:left="464"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C1616">
        <w:rPr>
          <w:color w:val="111111"/>
          <w:sz w:val="16"/>
        </w:rPr>
        <w:br/>
      </w:r>
    </w:p>
    <w:p w:rsidR="00420024" w:rsidP="00420024" w:rsidRDefault="00A7202C" w14:paraId="2989DB2A" w14:textId="443D9036">
      <w:pPr>
        <w:pStyle w:val="Kop1"/>
      </w:pPr>
      <w:r>
        <w:rPr>
          <w:noProof/>
          <w:color w:val="111111"/>
        </w:rPr>
        <w:t>Complément pour usage de béton maigre drainant </w:t>
      </w:r>
    </w:p>
    <w:p w:rsidR="00420024" w:rsidP="00420024" w:rsidRDefault="00A7202C" w14:paraId="28A99EF8" w14:textId="48381687">
      <w:pPr>
        <w:spacing w:before="5" w:line="264" w:lineRule="auto"/>
        <w:ind w:left="464"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C1616">
        <w:rPr>
          <w:color w:val="111111"/>
          <w:sz w:val="16"/>
        </w:rPr>
        <w:br/>
      </w:r>
    </w:p>
    <w:p w:rsidR="00A6253F" w:rsidP="00A6253F" w:rsidRDefault="00705467" w14:paraId="501FAD92" w14:textId="6A43D092">
      <w:pPr>
        <w:pStyle w:val="Kop1"/>
      </w:pPr>
      <w:r>
        <w:rPr>
          <w:noProof/>
          <w:color w:val="111111"/>
        </w:rPr>
        <w:t>Sous-fondation drainante en empierrements</w:t>
      </w:r>
    </w:p>
    <w:p w:rsidR="00A6253F" w:rsidP="00A6253F" w:rsidRDefault="00705467" w14:paraId="42B5B64E" w14:textId="2AC51043">
      <w:pPr>
        <w:spacing w:before="5" w:line="264" w:lineRule="auto"/>
        <w:ind w:left="464"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C1616">
        <w:rPr>
          <w:color w:val="111111"/>
          <w:sz w:val="16"/>
        </w:rPr>
        <w:br/>
      </w:r>
    </w:p>
    <w:p w:rsidR="00420024" w:rsidP="00420024" w:rsidRDefault="00420024" w14:paraId="3183A4BB" w14:textId="1FC92B9E">
      <w:pPr>
        <w:pStyle w:val="Kop1"/>
      </w:pPr>
      <w:r>
        <w:rPr>
          <w:noProof/>
          <w:color w:val="111111"/>
        </w:rPr>
        <w:t>Géotetextile - Géogrille</w:t>
      </w:r>
    </w:p>
    <w:p w:rsidR="00420024" w:rsidP="00420024" w:rsidRDefault="00420024" w14:paraId="22536863" w14:textId="650D9E4C">
      <w:pPr>
        <w:spacing w:before="5" w:line="264" w:lineRule="auto"/>
        <w:ind w:left="464" w:right="463"/>
        <w:rPr>
          <w:color w:val="111111"/>
          <w:sz w:val="16"/>
        </w:rPr>
      </w:pPr>
      <w:r>
        <w:rPr>
          <w:noProof/>
          <w:color w:val="111111"/>
          <w:sz w:val="16"/>
        </w:rPr>
        <w:t>En outre, un géotextile et une géogrille peuvent être posés sous la sous-fondation pour améliorer la capacité portante en cas de sous-sol saturé. </w:t>
      </w:r>
      <w:r w:rsidR="004C1616">
        <w:rPr>
          <w:color w:val="111111"/>
          <w:sz w:val="16"/>
        </w:rPr>
        <w:br/>
      </w:r>
    </w:p>
    <w:p w:rsidR="00420024" w:rsidP="00420024" w:rsidRDefault="00420024" w14:paraId="63EC144F" w14:textId="7158E889">
      <w:pPr>
        <w:pStyle w:val="Kop1"/>
      </w:pPr>
      <w:r>
        <w:rPr>
          <w:noProof/>
          <w:color w:val="111111"/>
        </w:rPr>
        <w:t>ENTRETIEN</w:t>
      </w:r>
    </w:p>
    <w:p w:rsidR="00420024" w:rsidP="00420024" w:rsidRDefault="00420024" w14:paraId="72D3FF1A" w14:textId="220BCBCF">
      <w:pPr>
        <w:spacing w:before="5" w:line="264" w:lineRule="auto"/>
        <w:ind w:left="464"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Une laveuse de voirie pour enrobé drainant peut également être utilisée. Le remplissage des joints doit être vérifié après le nettoyage et réparé si nécessaire.</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Safrané</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