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antraciet-bruin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*212x100x63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r>
        <w:tc>
          <w:p>
            <w:r>
              <w:rPr>
                <w:sz w:val="14"/>
                <w:rFonts w:ascii="Myriad Pro Light"/>
                <w:tcPr>
                  <w:vAlign w:val="center"/>
                  <w:tcW w:w="1700" w:type="dxa"/>
                </w:tcPr>
              </w:rPr>
              <w:t>uitzichtkenmerken</w:t>
            </w:r>
          </w:p>
        </w:tc>
        <w:tc>
          <w:p>
            <w:r>
              <w:rPr>
                <w:sz w:val="14"/>
                <w:rFonts w:ascii="Myriad Pro Light"/>
                <w:tcPr>
                  <w:vAlign w:val="center"/>
                  <w:tcW w:w="9060" w:type="dxa"/>
                </w:tcPr>
              </w:rP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