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grijs-groen-bruin tot zwart-groen genuanceerd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De steen wordt een tweede keer gereduceerd gebakken.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*241x73x38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79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92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0,65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Initiële wateropzuiging:</w:t>
            </w:r>
          </w:p>
        </w:tc>
        <w:tc>
          <w:p>
            <w:r>
              <w:rPr>
                <w:sz w:val="14"/>
                <w:rFonts w:ascii="Myriad Pro Light"/>
                <w:tcPr>
                  <w:vAlign w:val="center"/>
                </w:tcPr>
              </w:rPr>
              <w:t>&lt;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6012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