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grijs-groen in de massa met een genuanceerde onregelmatige  grijs-zwarte oppervlaktetextuur.</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De steen wordt een tweede keer gereduceerd gebakken.</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stenen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*246x75x38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78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90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&gt; 1,5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E47813" w14:paraId="2520D54B" w14:textId="77777777">
      <w:pPr>
        <w:pStyle w:val="Plattetekst"/>
        <w:rPr>
          <w:rFonts w:ascii="Myriad Pro"/>
          <w:b/>
          <w:sz w:val="16"/>
        </w:rPr>
      </w:pPr>
    </w:p>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linea7 7036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