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zacht oranje-rood in de massa met een onregelmatige beigewitte oppervlaktetextuur.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*216x103x64 mm</w:t>
            </w:r>
          </w:p>
        </w:tc>
        <w:tc>
          <w:p>
            <w:r>
              <w:rPr>
                <w:sz w:val="14"/>
                <w:rFonts w:ascii="Myriad Pro Light"/>
                <w:tcPr>
                  <w:vAlign w:val="center"/>
                </w:tcPr>
              </w:rPr>
              <w:t>- Op aanvraag &gt; 2000 m² </w:t>
            </w:r>
          </w:p>
        </w:tc>
      </w:tr>
      <w:tr>
        <w:tc>
          <w:p>
            <w:r>
              <w:rPr>
                <w:sz w:val="14"/>
                <w:rFonts w:ascii="Myriad Pro Light"/>
                <w:tcPr>
                  <w:vAlign w:val="center"/>
                </w:tcPr>
              </w:rPr>
              <w:t>Aantal / m² met een traditionele voeg </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