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bruin in de massa en  bruin genuanceerd met glanzend zwart-blauw op de zichtvlakken.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*224x73x54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0,5 kg/(m² . min ) klasse  IW1</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0,5 kg/(m² . min ) klasse IW1 (niet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F</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HD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