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Koperbruin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Bordeaux - bruin - zwart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111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W2</w:t>
            </w:r>
          </w:p>
        </w:tc>
        <w:tc>
          <w:p>
            <w:r>
              <w:rPr>
                <w:sz w:val="14"/>
                <w:rFonts w:ascii="Myriad Pro Light"/>
                <w:tcPr>
                  <w:vAlign w:val="center"/>
                </w:tcPr>
              </w:rPr>
              <w:t>Max. 5 %­</w:t>
            </w:r>
          </w:p>
        </w:tc>
        <w:tc>
          <w:p>
            <w:r>
              <w:rPr>
                <w:sz w:val="14"/>
                <w:rFonts w:ascii="Myriad Pro Light"/>
                <w:tcPr>
                  <w:vAlign w:val="center"/>
                </w:tcPr>
              </w:rPr>
              <w:t>Max. 6 %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w:t>
        <w:br/>
        <w:t>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Koperbruin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